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974DA" w14:textId="5E14E777" w:rsidR="00E61607" w:rsidRDefault="00A83CD1" w:rsidP="00C30372">
      <w:pPr>
        <w:spacing w:before="240" w:line="240" w:lineRule="auto"/>
        <w:rPr>
          <w:b/>
          <w:bCs/>
          <w:sz w:val="28"/>
          <w:szCs w:val="28"/>
          <w:lang w:val="en-GB"/>
        </w:rPr>
      </w:pPr>
      <w:r w:rsidRPr="00A83CD1">
        <w:rPr>
          <w:b/>
          <w:bCs/>
          <w:sz w:val="28"/>
          <w:szCs w:val="28"/>
          <w:lang w:val="en-GB"/>
        </w:rPr>
        <w:t xml:space="preserve">Memo of MAGIC Lunchtime Seminar: </w:t>
      </w:r>
      <w:r w:rsidR="00E61607" w:rsidRPr="00E61607">
        <w:rPr>
          <w:b/>
          <w:bCs/>
          <w:sz w:val="28"/>
          <w:szCs w:val="28"/>
          <w:lang w:val="en-GB"/>
        </w:rPr>
        <w:t>A new perspective on Water-Energy-Food Systems, in support of Sustainable Development Goal 2</w:t>
      </w:r>
    </w:p>
    <w:p w14:paraId="13622190" w14:textId="561070E0" w:rsidR="00935277" w:rsidRDefault="00E61607" w:rsidP="00C30372">
      <w:pPr>
        <w:spacing w:line="240" w:lineRule="auto"/>
        <w:rPr>
          <w:b/>
          <w:bCs/>
          <w:lang w:val="en-GB"/>
        </w:rPr>
      </w:pPr>
      <w:r w:rsidRPr="00E61607">
        <w:rPr>
          <w:b/>
          <w:bCs/>
          <w:lang w:val="en-GB"/>
        </w:rPr>
        <w:t>Thursday 21</w:t>
      </w:r>
      <w:r w:rsidRPr="00E61607">
        <w:rPr>
          <w:b/>
          <w:bCs/>
          <w:vertAlign w:val="superscript"/>
          <w:lang w:val="en-GB"/>
        </w:rPr>
        <w:t>st</w:t>
      </w:r>
      <w:r w:rsidRPr="00E61607">
        <w:rPr>
          <w:b/>
          <w:bCs/>
          <w:lang w:val="en-GB"/>
        </w:rPr>
        <w:t xml:space="preserve"> November 2019, Scotland House, Brussels</w:t>
      </w:r>
      <w:r>
        <w:rPr>
          <w:b/>
          <w:bCs/>
          <w:lang w:val="en-GB"/>
        </w:rPr>
        <w:t>. 12:45 -14:15</w:t>
      </w:r>
      <w:r w:rsidR="00EC0B37">
        <w:rPr>
          <w:lang w:val="en-GB"/>
        </w:rPr>
        <w:t xml:space="preserve">. </w:t>
      </w:r>
      <w:r w:rsidR="009F5DFB" w:rsidRPr="009F5DFB">
        <w:rPr>
          <w:b/>
          <w:bCs/>
          <w:lang w:val="en-GB"/>
        </w:rPr>
        <w:t>Report by Kerry Waylen</w:t>
      </w:r>
    </w:p>
    <w:p w14:paraId="4FC71465" w14:textId="77777777" w:rsidR="00935277" w:rsidRPr="009F5DFB" w:rsidRDefault="00935277" w:rsidP="00C30372">
      <w:pPr>
        <w:spacing w:line="240" w:lineRule="auto"/>
        <w:rPr>
          <w:b/>
          <w:bCs/>
          <w:lang w:val="en-GB"/>
        </w:rPr>
      </w:pPr>
    </w:p>
    <w:p w14:paraId="1DAE5FF4" w14:textId="2CC66ABC" w:rsidR="009F5DFB" w:rsidRDefault="009F5DFB" w:rsidP="00C30372">
      <w:pPr>
        <w:spacing w:line="240" w:lineRule="auto"/>
        <w:rPr>
          <w:lang w:val="en-GB"/>
        </w:rPr>
      </w:pPr>
      <w:r>
        <w:rPr>
          <w:lang w:val="en-GB"/>
        </w:rPr>
        <w:t xml:space="preserve">This seminar was hosted by 3 researchers at the James Hutton Institute: Keith Matthews, Kerry Waylen and Alba Juarez-Bourke, drawing on work carried out with other colleagues in the James Hutton Institute and the Autonomous University of Barcelona. There were 15 </w:t>
      </w:r>
      <w:r>
        <w:rPr>
          <w:lang w:val="en-GB"/>
        </w:rPr>
        <w:t>attendees</w:t>
      </w:r>
      <w:r w:rsidR="001254EB">
        <w:rPr>
          <w:lang w:val="en-GB"/>
        </w:rPr>
        <w:t>;</w:t>
      </w:r>
      <w:r w:rsidR="008D4A46">
        <w:rPr>
          <w:lang w:val="en-GB"/>
        </w:rPr>
        <w:t xml:space="preserve"> </w:t>
      </w:r>
      <w:r>
        <w:rPr>
          <w:lang w:val="en-GB"/>
        </w:rPr>
        <w:t xml:space="preserve">one person from an environmental NGO, and the rest from various sections of the European Commission: DG Agri, DG RTD, DG </w:t>
      </w:r>
      <w:proofErr w:type="spellStart"/>
      <w:r>
        <w:rPr>
          <w:lang w:val="en-GB"/>
        </w:rPr>
        <w:t>DevCo</w:t>
      </w:r>
      <w:proofErr w:type="spellEnd"/>
      <w:r>
        <w:rPr>
          <w:lang w:val="en-GB"/>
        </w:rPr>
        <w:t xml:space="preserve">, DG </w:t>
      </w:r>
      <w:proofErr w:type="spellStart"/>
      <w:r>
        <w:rPr>
          <w:lang w:val="en-GB"/>
        </w:rPr>
        <w:t>Clima</w:t>
      </w:r>
      <w:proofErr w:type="spellEnd"/>
      <w:r>
        <w:rPr>
          <w:lang w:val="en-GB"/>
        </w:rPr>
        <w:t>, and EASME. Some but not all attendees had some prior knowledge of the MAGIC project.</w:t>
      </w:r>
    </w:p>
    <w:p w14:paraId="4EEA6A86" w14:textId="70AC188A" w:rsidR="009F5DFB" w:rsidRDefault="00EC0B37" w:rsidP="00C30372">
      <w:pPr>
        <w:spacing w:line="240" w:lineRule="auto"/>
        <w:rPr>
          <w:lang w:val="en-GB"/>
        </w:rPr>
      </w:pPr>
      <w:r>
        <w:rPr>
          <w:b/>
          <w:bCs/>
          <w:lang w:val="en-GB"/>
        </w:rPr>
        <w:t>Rationale for seminar</w:t>
      </w:r>
      <w:r w:rsidRPr="00EC0B37">
        <w:rPr>
          <w:b/>
          <w:bCs/>
          <w:lang w:val="en-GB"/>
        </w:rPr>
        <w:t>:</w:t>
      </w:r>
      <w:r>
        <w:rPr>
          <w:lang w:val="en-GB"/>
        </w:rPr>
        <w:t xml:space="preserve"> </w:t>
      </w:r>
      <w:r w:rsidR="009F5DFB" w:rsidRPr="00E61607">
        <w:rPr>
          <w:lang w:val="en-GB"/>
        </w:rPr>
        <w:t xml:space="preserve">There is growing recognition that we need systemic approaches to understanding and managing our world, in order to achieve the Sustainable Development Goals (SDGs). See for example, the new commission’s mandate for a food systems strategy from ‘farm to fork’ and a growing emphasis on the circular economy. To achieve this, new tools and approaches may be needed. </w:t>
      </w:r>
      <w:r w:rsidR="009F5DFB">
        <w:rPr>
          <w:lang w:val="en-GB"/>
        </w:rPr>
        <w:t>This was the rationale for this meeting. It had three aims: (1) to explain the basic principles of a ‘Societal Metabolism Analysis’, (2) to illustrate its application to European Agri-Food systems, and (3) to discuss questions on the method, the findings, and any implications perceived for policy or other change.</w:t>
      </w:r>
    </w:p>
    <w:p w14:paraId="2C9A0EDE" w14:textId="4C5943BA" w:rsidR="009F5DFB" w:rsidRPr="00E61607" w:rsidRDefault="009F5DFB" w:rsidP="00C30372">
      <w:pPr>
        <w:spacing w:line="240" w:lineRule="auto"/>
        <w:rPr>
          <w:lang w:val="en-GB"/>
        </w:rPr>
      </w:pPr>
      <w:r>
        <w:rPr>
          <w:lang w:val="en-GB"/>
        </w:rPr>
        <w:t xml:space="preserve">The meeting commenced, after lunch, with the following agenda. The set of slides that were  presented at this meeting are available as the top of the list of outputs on </w:t>
      </w:r>
      <w:hyperlink r:id="rId8" w:history="1">
        <w:r w:rsidR="001254EB" w:rsidRPr="00044C31">
          <w:rPr>
            <w:rStyle w:val="Hyperlink"/>
            <w:lang w:val="en-GB"/>
          </w:rPr>
          <w:t>https://www.hutton.ac.uk/research/projects/magic</w:t>
        </w:r>
      </w:hyperlink>
      <w:r>
        <w:rPr>
          <w:lang w:val="en-GB"/>
        </w:rPr>
        <w:t xml:space="preserve"> </w:t>
      </w:r>
    </w:p>
    <w:p w14:paraId="5E47FD56" w14:textId="77777777" w:rsidR="009F5DFB" w:rsidRPr="00E61607" w:rsidRDefault="009F5DFB" w:rsidP="00C30372">
      <w:pPr>
        <w:spacing w:after="0" w:line="240" w:lineRule="auto"/>
        <w:rPr>
          <w:b/>
          <w:bCs/>
          <w:lang w:val="en-GB"/>
        </w:rPr>
      </w:pPr>
      <w:r w:rsidRPr="00E61607">
        <w:rPr>
          <w:b/>
          <w:bCs/>
          <w:lang w:val="en-GB"/>
        </w:rPr>
        <w:t>Agenda</w:t>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00" w:firstRow="0" w:lastRow="0" w:firstColumn="0" w:lastColumn="0" w:noHBand="0" w:noVBand="1"/>
      </w:tblPr>
      <w:tblGrid>
        <w:gridCol w:w="983"/>
        <w:gridCol w:w="8220"/>
      </w:tblGrid>
      <w:tr w:rsidR="009F5DFB" w:rsidRPr="001254EB" w14:paraId="5FC5161E" w14:textId="77777777" w:rsidTr="00935277">
        <w:trPr>
          <w:trHeight w:val="658"/>
        </w:trPr>
        <w:tc>
          <w:tcPr>
            <w:tcW w:w="983" w:type="dxa"/>
            <w:shd w:val="clear" w:color="auto" w:fill="auto"/>
            <w:tcMar>
              <w:top w:w="72" w:type="dxa"/>
              <w:left w:w="144" w:type="dxa"/>
              <w:bottom w:w="72" w:type="dxa"/>
              <w:right w:w="144" w:type="dxa"/>
            </w:tcMar>
            <w:hideMark/>
          </w:tcPr>
          <w:p w14:paraId="0ACEB991" w14:textId="77777777" w:rsidR="009F5DFB" w:rsidRPr="00241B5C" w:rsidRDefault="009F5DFB" w:rsidP="00C30372">
            <w:pPr>
              <w:spacing w:after="0" w:line="240" w:lineRule="auto"/>
            </w:pPr>
            <w:r w:rsidRPr="00241B5C">
              <w:t>12:45 – 13:15</w:t>
            </w:r>
          </w:p>
        </w:tc>
        <w:tc>
          <w:tcPr>
            <w:tcW w:w="8220" w:type="dxa"/>
            <w:shd w:val="clear" w:color="auto" w:fill="auto"/>
            <w:tcMar>
              <w:top w:w="72" w:type="dxa"/>
              <w:left w:w="144" w:type="dxa"/>
              <w:bottom w:w="72" w:type="dxa"/>
              <w:right w:w="144" w:type="dxa"/>
            </w:tcMar>
            <w:hideMark/>
          </w:tcPr>
          <w:p w14:paraId="37B1A3AD" w14:textId="77777777" w:rsidR="009F5DFB" w:rsidRPr="00241B5C" w:rsidRDefault="009F5DFB" w:rsidP="00C30372">
            <w:pPr>
              <w:spacing w:after="0" w:line="240" w:lineRule="auto"/>
              <w:rPr>
                <w:lang w:val="en-GB"/>
              </w:rPr>
            </w:pPr>
            <w:r w:rsidRPr="00241B5C">
              <w:rPr>
                <w:b/>
                <w:bCs/>
                <w:lang w:val="en-GB"/>
              </w:rPr>
              <w:t>Welcome &amp; Introductions</w:t>
            </w:r>
          </w:p>
          <w:p w14:paraId="34E0FFEF" w14:textId="77777777" w:rsidR="009F5DFB" w:rsidRPr="00241B5C" w:rsidRDefault="009F5DFB" w:rsidP="00C30372">
            <w:pPr>
              <w:spacing w:after="0" w:line="240" w:lineRule="auto"/>
              <w:rPr>
                <w:lang w:val="en-GB"/>
              </w:rPr>
            </w:pPr>
            <w:r w:rsidRPr="00241B5C">
              <w:rPr>
                <w:lang w:val="en-GB"/>
              </w:rPr>
              <w:t>Overview of MAGIC project</w:t>
            </w:r>
          </w:p>
          <w:p w14:paraId="36C756BB" w14:textId="77777777" w:rsidR="009F5DFB" w:rsidRDefault="009F5DFB" w:rsidP="00C30372">
            <w:pPr>
              <w:spacing w:after="0" w:line="240" w:lineRule="auto"/>
              <w:rPr>
                <w:lang w:val="en-GB"/>
              </w:rPr>
            </w:pPr>
            <w:r w:rsidRPr="00241B5C">
              <w:rPr>
                <w:lang w:val="en-GB"/>
              </w:rPr>
              <w:t>Explanation of Societal metabolism approach</w:t>
            </w:r>
          </w:p>
          <w:p w14:paraId="185714C9" w14:textId="77777777" w:rsidR="009F5DFB" w:rsidRPr="00241B5C" w:rsidRDefault="009F5DFB" w:rsidP="00C30372">
            <w:pPr>
              <w:spacing w:after="0" w:line="240" w:lineRule="auto"/>
              <w:rPr>
                <w:lang w:val="en-GB"/>
              </w:rPr>
            </w:pPr>
            <w:r>
              <w:rPr>
                <w:lang w:val="en-GB"/>
              </w:rPr>
              <w:t>Queries about method</w:t>
            </w:r>
          </w:p>
        </w:tc>
      </w:tr>
      <w:tr w:rsidR="009F5DFB" w:rsidRPr="001254EB" w14:paraId="24ECA9F4" w14:textId="77777777" w:rsidTr="00935277">
        <w:trPr>
          <w:trHeight w:val="1020"/>
        </w:trPr>
        <w:tc>
          <w:tcPr>
            <w:tcW w:w="983" w:type="dxa"/>
            <w:shd w:val="clear" w:color="auto" w:fill="auto"/>
            <w:tcMar>
              <w:top w:w="72" w:type="dxa"/>
              <w:left w:w="144" w:type="dxa"/>
              <w:bottom w:w="72" w:type="dxa"/>
              <w:right w:w="144" w:type="dxa"/>
            </w:tcMar>
            <w:hideMark/>
          </w:tcPr>
          <w:p w14:paraId="26EE7875" w14:textId="77777777" w:rsidR="009F5DFB" w:rsidRPr="00241B5C" w:rsidRDefault="009F5DFB" w:rsidP="00C30372">
            <w:pPr>
              <w:spacing w:after="0" w:line="240" w:lineRule="auto"/>
            </w:pPr>
            <w:r w:rsidRPr="00241B5C">
              <w:t>13:15 – 13:45</w:t>
            </w:r>
          </w:p>
        </w:tc>
        <w:tc>
          <w:tcPr>
            <w:tcW w:w="8220" w:type="dxa"/>
            <w:shd w:val="clear" w:color="auto" w:fill="auto"/>
            <w:tcMar>
              <w:top w:w="72" w:type="dxa"/>
              <w:left w:w="144" w:type="dxa"/>
              <w:bottom w:w="72" w:type="dxa"/>
              <w:right w:w="144" w:type="dxa"/>
            </w:tcMar>
            <w:hideMark/>
          </w:tcPr>
          <w:p w14:paraId="258FE823" w14:textId="77777777" w:rsidR="009F5DFB" w:rsidRPr="00241B5C" w:rsidRDefault="009F5DFB" w:rsidP="00C30372">
            <w:pPr>
              <w:spacing w:after="0" w:line="240" w:lineRule="auto"/>
              <w:rPr>
                <w:lang w:val="en-GB"/>
              </w:rPr>
            </w:pPr>
            <w:r>
              <w:rPr>
                <w:b/>
                <w:bCs/>
                <w:lang w:val="en-GB"/>
              </w:rPr>
              <w:t>A new perspective on SDG2 via Societal Metabolism Analysis</w:t>
            </w:r>
          </w:p>
          <w:p w14:paraId="1CC95312" w14:textId="77777777" w:rsidR="009F5DFB" w:rsidRPr="00241B5C" w:rsidRDefault="009F5DFB" w:rsidP="00C30372">
            <w:pPr>
              <w:spacing w:after="0" w:line="240" w:lineRule="auto"/>
              <w:rPr>
                <w:lang w:val="en-GB"/>
              </w:rPr>
            </w:pPr>
            <w:r w:rsidRPr="00241B5C">
              <w:rPr>
                <w:lang w:val="en-GB"/>
              </w:rPr>
              <w:t>Analysing agricultural sustainability in terms of environmental flows within EU</w:t>
            </w:r>
          </w:p>
          <w:p w14:paraId="72849089" w14:textId="77777777" w:rsidR="009F5DFB" w:rsidRPr="00241B5C" w:rsidRDefault="009F5DFB" w:rsidP="00C30372">
            <w:pPr>
              <w:spacing w:after="0" w:line="240" w:lineRule="auto"/>
              <w:rPr>
                <w:lang w:val="en-GB"/>
              </w:rPr>
            </w:pPr>
            <w:r w:rsidRPr="00241B5C">
              <w:rPr>
                <w:lang w:val="en-GB"/>
              </w:rPr>
              <w:t xml:space="preserve">Analysing agricultural sustainability in terms of </w:t>
            </w:r>
            <w:r>
              <w:rPr>
                <w:lang w:val="en-GB"/>
              </w:rPr>
              <w:t>consequences beyond the EU</w:t>
            </w:r>
          </w:p>
          <w:p w14:paraId="62A9BE0B" w14:textId="77777777" w:rsidR="009F5DFB" w:rsidRPr="00241B5C" w:rsidRDefault="009F5DFB" w:rsidP="00C30372">
            <w:pPr>
              <w:spacing w:after="0" w:line="240" w:lineRule="auto"/>
              <w:rPr>
                <w:lang w:val="en-GB"/>
              </w:rPr>
            </w:pPr>
            <w:r w:rsidRPr="00241B5C">
              <w:rPr>
                <w:lang w:val="en-GB"/>
              </w:rPr>
              <w:t>Considering nutrition, food security &amp; hunger</w:t>
            </w:r>
          </w:p>
        </w:tc>
      </w:tr>
      <w:tr w:rsidR="009F5DFB" w:rsidRPr="001254EB" w14:paraId="5C9AFD06" w14:textId="77777777" w:rsidTr="00935277">
        <w:trPr>
          <w:trHeight w:val="910"/>
        </w:trPr>
        <w:tc>
          <w:tcPr>
            <w:tcW w:w="983" w:type="dxa"/>
            <w:shd w:val="clear" w:color="auto" w:fill="auto"/>
            <w:tcMar>
              <w:top w:w="72" w:type="dxa"/>
              <w:left w:w="144" w:type="dxa"/>
              <w:bottom w:w="72" w:type="dxa"/>
              <w:right w:w="144" w:type="dxa"/>
            </w:tcMar>
            <w:hideMark/>
          </w:tcPr>
          <w:p w14:paraId="2640B615" w14:textId="77777777" w:rsidR="009F5DFB" w:rsidRPr="00241B5C" w:rsidRDefault="009F5DFB" w:rsidP="00C30372">
            <w:pPr>
              <w:spacing w:after="0" w:line="240" w:lineRule="auto"/>
            </w:pPr>
            <w:r w:rsidRPr="00241B5C">
              <w:t>13:45 – 14:15</w:t>
            </w:r>
          </w:p>
        </w:tc>
        <w:tc>
          <w:tcPr>
            <w:tcW w:w="8220" w:type="dxa"/>
            <w:shd w:val="clear" w:color="auto" w:fill="auto"/>
            <w:tcMar>
              <w:top w:w="72" w:type="dxa"/>
              <w:left w:w="144" w:type="dxa"/>
              <w:bottom w:w="72" w:type="dxa"/>
              <w:right w:w="144" w:type="dxa"/>
            </w:tcMar>
            <w:hideMark/>
          </w:tcPr>
          <w:p w14:paraId="1B95FF33" w14:textId="77777777" w:rsidR="009F5DFB" w:rsidRPr="00241B5C" w:rsidRDefault="009F5DFB" w:rsidP="00C30372">
            <w:pPr>
              <w:spacing w:after="0" w:line="240" w:lineRule="auto"/>
              <w:rPr>
                <w:lang w:val="en-GB"/>
              </w:rPr>
            </w:pPr>
            <w:r w:rsidRPr="00241B5C">
              <w:rPr>
                <w:b/>
                <w:bCs/>
                <w:lang w:val="en-GB"/>
              </w:rPr>
              <w:t xml:space="preserve">Discussion </w:t>
            </w:r>
          </w:p>
          <w:p w14:paraId="646C0A83" w14:textId="77777777" w:rsidR="009F5DFB" w:rsidRPr="00241B5C" w:rsidRDefault="009F5DFB" w:rsidP="00C30372">
            <w:pPr>
              <w:spacing w:after="0" w:line="240" w:lineRule="auto"/>
              <w:rPr>
                <w:lang w:val="en-GB"/>
              </w:rPr>
            </w:pPr>
            <w:r w:rsidRPr="00241B5C">
              <w:rPr>
                <w:lang w:val="en-GB"/>
              </w:rPr>
              <w:t>Queries and discussion on method and its application</w:t>
            </w:r>
            <w:r>
              <w:rPr>
                <w:lang w:val="en-GB"/>
              </w:rPr>
              <w:t xml:space="preserve"> to SDG2</w:t>
            </w:r>
          </w:p>
          <w:p w14:paraId="1FDC2C44" w14:textId="77777777" w:rsidR="009F5DFB" w:rsidRPr="00241B5C" w:rsidRDefault="009F5DFB" w:rsidP="00C30372">
            <w:pPr>
              <w:spacing w:after="0" w:line="240" w:lineRule="auto"/>
              <w:rPr>
                <w:lang w:val="en-GB"/>
              </w:rPr>
            </w:pPr>
            <w:r w:rsidRPr="00241B5C">
              <w:rPr>
                <w:lang w:val="en-GB"/>
              </w:rPr>
              <w:t xml:space="preserve">Implications for understanding and governing </w:t>
            </w:r>
            <w:r>
              <w:rPr>
                <w:lang w:val="en-GB"/>
              </w:rPr>
              <w:t>agri-</w:t>
            </w:r>
            <w:r w:rsidRPr="00241B5C">
              <w:rPr>
                <w:lang w:val="en-GB"/>
              </w:rPr>
              <w:t>food systems</w:t>
            </w:r>
          </w:p>
        </w:tc>
      </w:tr>
    </w:tbl>
    <w:p w14:paraId="40E9C498" w14:textId="04FB3B97" w:rsidR="009F5DFB" w:rsidRDefault="009F5DFB" w:rsidP="00C30372">
      <w:pPr>
        <w:spacing w:line="240" w:lineRule="auto"/>
        <w:rPr>
          <w:lang w:val="en-GB"/>
        </w:rPr>
      </w:pPr>
    </w:p>
    <w:p w14:paraId="6C6289B0" w14:textId="15364CDD" w:rsidR="00D675A2" w:rsidRDefault="00A03CF5" w:rsidP="00C30372">
      <w:pPr>
        <w:spacing w:line="240" w:lineRule="auto"/>
        <w:rPr>
          <w:lang w:val="en-GB"/>
        </w:rPr>
      </w:pPr>
      <w:r w:rsidRPr="00A03CF5">
        <w:rPr>
          <w:b/>
          <w:lang w:val="en-GB"/>
        </w:rPr>
        <w:t>Information presented by researchers</w:t>
      </w:r>
      <w:r w:rsidR="00EC0B37">
        <w:rPr>
          <w:b/>
          <w:lang w:val="en-GB"/>
        </w:rPr>
        <w:t>:</w:t>
      </w:r>
      <w:r w:rsidRPr="00A03CF5">
        <w:rPr>
          <w:lang w:val="en-GB"/>
        </w:rPr>
        <w:t xml:space="preserve"> The researchers presented a brief </w:t>
      </w:r>
      <w:r w:rsidR="00EC0B37" w:rsidRPr="00A03CF5">
        <w:rPr>
          <w:lang w:val="en-GB"/>
        </w:rPr>
        <w:t>prec</w:t>
      </w:r>
      <w:r w:rsidR="00EC0B37">
        <w:rPr>
          <w:lang w:val="en-GB"/>
        </w:rPr>
        <w:t>i</w:t>
      </w:r>
      <w:r w:rsidR="00EC0B37" w:rsidRPr="00A03CF5">
        <w:rPr>
          <w:lang w:val="en-GB"/>
        </w:rPr>
        <w:t>s</w:t>
      </w:r>
      <w:r w:rsidRPr="00A03CF5">
        <w:rPr>
          <w:lang w:val="en-GB"/>
        </w:rPr>
        <w:t xml:space="preserve"> of the MAGIC project (</w:t>
      </w:r>
      <w:hyperlink r:id="rId9" w:history="1">
        <w:r w:rsidRPr="00A03CF5">
          <w:rPr>
            <w:rStyle w:val="Hyperlink"/>
            <w:lang w:val="en-GB"/>
          </w:rPr>
          <w:t>https://magic-nexus.eu/</w:t>
        </w:r>
      </w:hyperlink>
      <w:r w:rsidRPr="00A03CF5">
        <w:rPr>
          <w:lang w:val="en-GB"/>
        </w:rPr>
        <w:t xml:space="preserve">), which responds to a call to work on the ‘Water-Energy-Food-(Environment) Nexus’. MAGIC </w:t>
      </w:r>
      <w:r w:rsidR="00D675A2">
        <w:rPr>
          <w:lang w:val="en-GB"/>
        </w:rPr>
        <w:t xml:space="preserve">has a </w:t>
      </w:r>
      <w:r w:rsidRPr="00A03CF5">
        <w:rPr>
          <w:lang w:val="en-GB"/>
        </w:rPr>
        <w:t>focus on how EU policies are linked together and to climate and sustainability goals</w:t>
      </w:r>
      <w:r w:rsidR="00D675A2">
        <w:rPr>
          <w:lang w:val="en-GB"/>
        </w:rPr>
        <w:t>, and the implications for the nexus</w:t>
      </w:r>
      <w:r w:rsidRPr="00A03CF5">
        <w:rPr>
          <w:lang w:val="en-GB"/>
        </w:rPr>
        <w:t xml:space="preserve">. </w:t>
      </w:r>
      <w:r>
        <w:rPr>
          <w:lang w:val="en-GB"/>
        </w:rPr>
        <w:t xml:space="preserve"> </w:t>
      </w:r>
    </w:p>
    <w:p w14:paraId="44E5F7DF" w14:textId="39C0A171" w:rsidR="00D675A2" w:rsidRDefault="00A03CF5" w:rsidP="00C30372">
      <w:pPr>
        <w:spacing w:line="240" w:lineRule="auto"/>
        <w:rPr>
          <w:lang w:val="en-GB"/>
        </w:rPr>
      </w:pPr>
      <w:r>
        <w:rPr>
          <w:lang w:val="en-GB"/>
        </w:rPr>
        <w:t xml:space="preserve">Societal Metabolism analysis is a </w:t>
      </w:r>
      <w:r w:rsidRPr="00A03CF5">
        <w:rPr>
          <w:lang w:val="en-GB"/>
        </w:rPr>
        <w:t xml:space="preserve">method that allows </w:t>
      </w:r>
      <w:r>
        <w:rPr>
          <w:lang w:val="en-GB"/>
        </w:rPr>
        <w:t xml:space="preserve">analysis of the </w:t>
      </w:r>
      <w:r w:rsidRPr="00A03CF5">
        <w:rPr>
          <w:lang w:val="en-GB"/>
        </w:rPr>
        <w:t>metabolic pattern</w:t>
      </w:r>
      <w:r>
        <w:rPr>
          <w:lang w:val="en-GB"/>
        </w:rPr>
        <w:t>s and interconnections</w:t>
      </w:r>
      <w:r w:rsidRPr="00A03CF5">
        <w:rPr>
          <w:lang w:val="en-GB"/>
        </w:rPr>
        <w:t xml:space="preserve"> of different systems</w:t>
      </w:r>
      <w:r>
        <w:rPr>
          <w:lang w:val="en-GB"/>
        </w:rPr>
        <w:t xml:space="preserve">. Central concepts are ‘fund’ and ‘flows’ of societal and environmental resources. </w:t>
      </w:r>
      <w:r w:rsidR="00B46800">
        <w:rPr>
          <w:lang w:val="en-GB"/>
        </w:rPr>
        <w:t xml:space="preserve">In MAGIC, </w:t>
      </w:r>
      <w:r w:rsidR="00D675A2">
        <w:rPr>
          <w:lang w:val="en-GB"/>
        </w:rPr>
        <w:t>f</w:t>
      </w:r>
      <w:r>
        <w:rPr>
          <w:lang w:val="en-GB"/>
        </w:rPr>
        <w:t xml:space="preserve">or </w:t>
      </w:r>
      <w:r w:rsidR="00B46800">
        <w:rPr>
          <w:lang w:val="en-GB"/>
        </w:rPr>
        <w:t xml:space="preserve">any </w:t>
      </w:r>
      <w:r>
        <w:rPr>
          <w:lang w:val="en-GB"/>
        </w:rPr>
        <w:t>specific activity or system</w:t>
      </w:r>
      <w:r w:rsidR="00B46800">
        <w:rPr>
          <w:lang w:val="en-GB"/>
        </w:rPr>
        <w:t>,</w:t>
      </w:r>
      <w:r>
        <w:rPr>
          <w:lang w:val="en-GB"/>
        </w:rPr>
        <w:t xml:space="preserve"> the pattern of key flows and </w:t>
      </w:r>
      <w:r>
        <w:rPr>
          <w:lang w:val="en-GB"/>
        </w:rPr>
        <w:lastRenderedPageBreak/>
        <w:t xml:space="preserve">funds is </w:t>
      </w:r>
      <w:r w:rsidRPr="00B46800">
        <w:rPr>
          <w:lang w:val="en-GB"/>
        </w:rPr>
        <w:t xml:space="preserve">represented in a ‘processor’ that can be connected with other processors in sequential pathways. </w:t>
      </w:r>
      <w:r w:rsidR="00B46800" w:rsidRPr="00B46800">
        <w:rPr>
          <w:lang w:val="en-GB"/>
        </w:rPr>
        <w:t>The results of social metabolism-based analysis always characterise the state of the systems in terms of extent variables (e.g. land area,) and also intensity variables (e.g. rate of flow of water).</w:t>
      </w:r>
      <w:r w:rsidR="00EC0B37">
        <w:rPr>
          <w:lang w:val="en-GB"/>
        </w:rPr>
        <w:t xml:space="preserve"> </w:t>
      </w:r>
      <w:r>
        <w:rPr>
          <w:lang w:val="en-GB"/>
        </w:rPr>
        <w:t>Deciding what processes to represent</w:t>
      </w:r>
      <w:r w:rsidR="00D675A2">
        <w:rPr>
          <w:lang w:val="en-GB"/>
        </w:rPr>
        <w:t>, and how,</w:t>
      </w:r>
      <w:r>
        <w:rPr>
          <w:lang w:val="en-GB"/>
        </w:rPr>
        <w:t xml:space="preserve"> </w:t>
      </w:r>
      <w:r w:rsidR="00D675A2">
        <w:rPr>
          <w:lang w:val="en-GB"/>
        </w:rPr>
        <w:t xml:space="preserve">depends on the question or problem to be analysed. </w:t>
      </w:r>
      <w:r w:rsidR="00935277" w:rsidRPr="00935277">
        <w:rPr>
          <w:lang w:val="en-GB"/>
        </w:rPr>
        <w:t xml:space="preserve">For more information about societal metabolism analysis and </w:t>
      </w:r>
      <w:proofErr w:type="spellStart"/>
      <w:r w:rsidR="00935277" w:rsidRPr="00935277">
        <w:rPr>
          <w:lang w:val="en-GB"/>
        </w:rPr>
        <w:t>MuSIASEM</w:t>
      </w:r>
      <w:proofErr w:type="spellEnd"/>
      <w:r w:rsidR="00935277" w:rsidRPr="00935277">
        <w:rPr>
          <w:lang w:val="en-GB"/>
        </w:rPr>
        <w:t xml:space="preserve"> please see </w:t>
      </w:r>
      <w:hyperlink r:id="rId10" w:history="1">
        <w:r w:rsidR="00935277" w:rsidRPr="00935277">
          <w:rPr>
            <w:rStyle w:val="Hyperlink"/>
            <w:lang w:val="en-GB"/>
          </w:rPr>
          <w:t>http://magic-nexus.eu/documents/introducing-societal-metabolism-analysis-%E2%80%98musiasem</w:t>
        </w:r>
      </w:hyperlink>
      <w:r w:rsidR="00C97C17">
        <w:rPr>
          <w:rStyle w:val="Hyperlink"/>
          <w:lang w:val="en-GB"/>
        </w:rPr>
        <w:t>.</w:t>
      </w:r>
      <w:r w:rsidR="00935277" w:rsidRPr="00935277">
        <w:rPr>
          <w:lang w:val="en-GB"/>
        </w:rPr>
        <w:t xml:space="preserve"> </w:t>
      </w:r>
      <w:r w:rsidR="00D675A2">
        <w:rPr>
          <w:lang w:val="en-GB"/>
        </w:rPr>
        <w:t>Within MAGIC, societal metabolism is deployed within a broader process of reflection and stakeholder engagement that is called ‘</w:t>
      </w:r>
      <w:r w:rsidRPr="00A03CF5">
        <w:rPr>
          <w:lang w:val="en-GB"/>
        </w:rPr>
        <w:t>Quantitative Story-Telling</w:t>
      </w:r>
      <w:r w:rsidR="00D675A2">
        <w:rPr>
          <w:lang w:val="en-GB"/>
        </w:rPr>
        <w:t xml:space="preserve">’. As such, the seminar’s focus on SDG2 arose from this process, and reflected prior engagement, interviews, discussion and analysis </w:t>
      </w:r>
      <w:r w:rsidR="00EC0B37">
        <w:rPr>
          <w:lang w:val="en-GB"/>
        </w:rPr>
        <w:t xml:space="preserve">of </w:t>
      </w:r>
      <w:r w:rsidR="00D675A2">
        <w:rPr>
          <w:lang w:val="en-GB"/>
        </w:rPr>
        <w:t>policy documents, to identify salient themes and challenges.</w:t>
      </w:r>
    </w:p>
    <w:p w14:paraId="22BB0AD4" w14:textId="17881582" w:rsidR="00EC0B37" w:rsidRPr="00EC0B37" w:rsidRDefault="00EC0B37" w:rsidP="00C30372">
      <w:pPr>
        <w:spacing w:line="240" w:lineRule="auto"/>
        <w:rPr>
          <w:lang w:val="en-GB"/>
        </w:rPr>
      </w:pPr>
      <w:r>
        <w:rPr>
          <w:lang w:val="en-GB"/>
        </w:rPr>
        <w:t xml:space="preserve">The data presented result from a societal metabolism analysis of the pressures and impacts on the </w:t>
      </w:r>
      <w:r w:rsidRPr="00EC0B37">
        <w:rPr>
          <w:lang w:val="en-GB"/>
        </w:rPr>
        <w:t>environment associated with agricultural production pathways.</w:t>
      </w:r>
      <w:r>
        <w:rPr>
          <w:lang w:val="en-GB"/>
        </w:rPr>
        <w:t xml:space="preserve"> The presentation highlighted that some agricultural systems may be associated with adverse consequences for pollinator potential, soil erosion and water quality. The presentation also explored the consequences of interconnections and dependencies on countries outside of the EU, by considering the inputs associated with imported inputs to agriculture. </w:t>
      </w:r>
      <w:r w:rsidR="00C30372">
        <w:rPr>
          <w:lang w:val="en-GB"/>
        </w:rPr>
        <w:t xml:space="preserve">These inputs reflect embodied energy, water etc. used in systems outside of the EU. </w:t>
      </w:r>
      <w:r>
        <w:rPr>
          <w:lang w:val="en-GB"/>
        </w:rPr>
        <w:t xml:space="preserve">The consequences of re-internalising all these inputs </w:t>
      </w:r>
      <w:proofErr w:type="gramStart"/>
      <w:r>
        <w:rPr>
          <w:lang w:val="en-GB"/>
        </w:rPr>
        <w:t>was</w:t>
      </w:r>
      <w:proofErr w:type="gramEnd"/>
      <w:r>
        <w:rPr>
          <w:lang w:val="en-GB"/>
        </w:rPr>
        <w:t xml:space="preserve"> explored (e.g. growing all livestock feed within the EU), showing that large areas of land would be needed which may impact SDG15 and other societal goals. </w:t>
      </w:r>
      <w:r w:rsidR="00C30372">
        <w:rPr>
          <w:lang w:val="en-GB"/>
        </w:rPr>
        <w:t xml:space="preserve">There would also be social consequences, not least in terms of workload. Lastly, the presentation discussed how commodities, supply chains and nutrition could also be </w:t>
      </w:r>
      <w:r w:rsidR="00C30372">
        <w:rPr>
          <w:lang w:val="en-GB"/>
        </w:rPr>
        <w:t xml:space="preserve">considered and connected as part of a societal metabolism approach. The researchers finished by </w:t>
      </w:r>
      <w:r w:rsidR="00C97C17">
        <w:rPr>
          <w:lang w:val="en-GB"/>
        </w:rPr>
        <w:t xml:space="preserve">presenting </w:t>
      </w:r>
      <w:r w:rsidR="00C30372">
        <w:rPr>
          <w:lang w:val="en-GB"/>
        </w:rPr>
        <w:t xml:space="preserve">what they perceived as the general implications of this work, and asked the participants for their views on </w:t>
      </w:r>
      <w:r w:rsidR="00C30372">
        <w:rPr>
          <w:lang w:val="en-GB"/>
        </w:rPr>
        <w:t>implications, and any other feedback.</w:t>
      </w:r>
    </w:p>
    <w:p w14:paraId="3A28A3EA" w14:textId="7D97C6EB" w:rsidR="00D675A2" w:rsidRDefault="00D675A2" w:rsidP="00E26E75">
      <w:pPr>
        <w:spacing w:after="180" w:line="240" w:lineRule="auto"/>
        <w:rPr>
          <w:b/>
          <w:bCs/>
          <w:lang w:val="en-GB"/>
        </w:rPr>
      </w:pPr>
      <w:r w:rsidRPr="00D675A2">
        <w:rPr>
          <w:b/>
          <w:bCs/>
          <w:lang w:val="en-GB"/>
        </w:rPr>
        <w:t>Discussion topics</w:t>
      </w:r>
      <w:r w:rsidR="00C30372">
        <w:rPr>
          <w:b/>
          <w:bCs/>
          <w:lang w:val="en-GB"/>
        </w:rPr>
        <w:t xml:space="preserve">: </w:t>
      </w:r>
      <w:r w:rsidR="00C30372">
        <w:rPr>
          <w:lang w:val="en-GB"/>
        </w:rPr>
        <w:t>Various points were raised, with different questions and positions held by different participants:</w:t>
      </w:r>
    </w:p>
    <w:p w14:paraId="583B242B" w14:textId="609A8280" w:rsidR="00D675A2" w:rsidRDefault="001254EB" w:rsidP="00935277">
      <w:pPr>
        <w:pStyle w:val="ListParagraph"/>
        <w:numPr>
          <w:ilvl w:val="0"/>
          <w:numId w:val="3"/>
        </w:numPr>
        <w:spacing w:after="120" w:line="240" w:lineRule="auto"/>
        <w:ind w:left="227" w:hanging="227"/>
        <w:rPr>
          <w:lang w:val="en-GB"/>
        </w:rPr>
      </w:pPr>
      <w:r>
        <w:rPr>
          <w:lang w:val="en-GB"/>
        </w:rPr>
        <w:t xml:space="preserve">Requests </w:t>
      </w:r>
      <w:r w:rsidR="00C30372">
        <w:rPr>
          <w:lang w:val="en-GB"/>
        </w:rPr>
        <w:t xml:space="preserve">for researchers to present more specific and policy-relevant implications. </w:t>
      </w:r>
    </w:p>
    <w:p w14:paraId="3F41E76B" w14:textId="19906812" w:rsidR="00C30372" w:rsidRDefault="00935277" w:rsidP="00935277">
      <w:pPr>
        <w:pStyle w:val="ListParagraph"/>
        <w:numPr>
          <w:ilvl w:val="0"/>
          <w:numId w:val="3"/>
        </w:numPr>
        <w:spacing w:after="120" w:line="240" w:lineRule="auto"/>
        <w:ind w:left="227" w:hanging="227"/>
        <w:rPr>
          <w:lang w:val="en-GB"/>
        </w:rPr>
      </w:pPr>
      <w:r>
        <w:rPr>
          <w:lang w:val="en-GB"/>
        </w:rPr>
        <w:t xml:space="preserve">Suggestion </w:t>
      </w:r>
      <w:r w:rsidR="00C30372">
        <w:rPr>
          <w:lang w:val="en-GB"/>
        </w:rPr>
        <w:t xml:space="preserve">for researchers to </w:t>
      </w:r>
      <w:r>
        <w:rPr>
          <w:lang w:val="en-GB"/>
        </w:rPr>
        <w:t>discuss implications with other societal groups that may be needed to achieve change (e.g. general society, politicians).</w:t>
      </w:r>
    </w:p>
    <w:p w14:paraId="1AEC6ACB" w14:textId="42836407" w:rsidR="00C30372" w:rsidRDefault="00C30372" w:rsidP="00935277">
      <w:pPr>
        <w:pStyle w:val="ListParagraph"/>
        <w:numPr>
          <w:ilvl w:val="0"/>
          <w:numId w:val="3"/>
        </w:numPr>
        <w:spacing w:after="120" w:line="240" w:lineRule="auto"/>
        <w:ind w:left="227" w:hanging="227"/>
        <w:rPr>
          <w:lang w:val="en-GB"/>
        </w:rPr>
      </w:pPr>
      <w:r>
        <w:rPr>
          <w:lang w:val="en-GB"/>
        </w:rPr>
        <w:t xml:space="preserve">Interest in understanding </w:t>
      </w:r>
      <w:r w:rsidR="001254EB">
        <w:rPr>
          <w:lang w:val="en-GB"/>
        </w:rPr>
        <w:t xml:space="preserve">prior </w:t>
      </w:r>
      <w:r>
        <w:rPr>
          <w:lang w:val="en-GB"/>
        </w:rPr>
        <w:t>examples of how a societal metabolism approach has been useful and achieved policy impact</w:t>
      </w:r>
      <w:r w:rsidR="001254EB">
        <w:rPr>
          <w:lang w:val="en-GB"/>
        </w:rPr>
        <w:t>.</w:t>
      </w:r>
    </w:p>
    <w:p w14:paraId="574A3ABF" w14:textId="208FF99F" w:rsidR="00C30372" w:rsidRDefault="00C30372" w:rsidP="00935277">
      <w:pPr>
        <w:pStyle w:val="ListParagraph"/>
        <w:numPr>
          <w:ilvl w:val="0"/>
          <w:numId w:val="3"/>
        </w:numPr>
        <w:spacing w:after="120" w:line="240" w:lineRule="auto"/>
        <w:ind w:left="227" w:hanging="227"/>
        <w:rPr>
          <w:lang w:val="en-GB"/>
        </w:rPr>
      </w:pPr>
      <w:r>
        <w:rPr>
          <w:lang w:val="en-GB"/>
        </w:rPr>
        <w:t xml:space="preserve">Curiosity about the pros and cons of this </w:t>
      </w:r>
      <w:r w:rsidR="001254EB">
        <w:rPr>
          <w:lang w:val="en-GB"/>
        </w:rPr>
        <w:t xml:space="preserve">approach </w:t>
      </w:r>
      <w:r>
        <w:rPr>
          <w:lang w:val="en-GB"/>
        </w:rPr>
        <w:t>versus other methods such as Life Cycle Analysis.</w:t>
      </w:r>
    </w:p>
    <w:p w14:paraId="662CE031" w14:textId="322DDA2C" w:rsidR="00C30372" w:rsidRDefault="001254EB" w:rsidP="00935277">
      <w:pPr>
        <w:pStyle w:val="ListParagraph"/>
        <w:numPr>
          <w:ilvl w:val="0"/>
          <w:numId w:val="3"/>
        </w:numPr>
        <w:spacing w:after="120" w:line="240" w:lineRule="auto"/>
        <w:ind w:left="227" w:hanging="227"/>
        <w:rPr>
          <w:lang w:val="en-GB"/>
        </w:rPr>
      </w:pPr>
      <w:r>
        <w:rPr>
          <w:lang w:val="en-GB"/>
        </w:rPr>
        <w:t xml:space="preserve">A desire to build understanding of the </w:t>
      </w:r>
      <w:r w:rsidR="00C30372">
        <w:rPr>
          <w:lang w:val="en-GB"/>
        </w:rPr>
        <w:t xml:space="preserve">whole agri-food system </w:t>
      </w:r>
      <w:r>
        <w:rPr>
          <w:lang w:val="en-GB"/>
        </w:rPr>
        <w:t xml:space="preserve">through to consumption </w:t>
      </w:r>
      <w:r w:rsidR="00C30372">
        <w:rPr>
          <w:lang w:val="en-GB"/>
        </w:rPr>
        <w:t>(</w:t>
      </w:r>
      <w:r>
        <w:rPr>
          <w:lang w:val="en-GB"/>
        </w:rPr>
        <w:t xml:space="preserve">i.e. </w:t>
      </w:r>
      <w:r w:rsidR="00C30372">
        <w:rPr>
          <w:lang w:val="en-GB"/>
        </w:rPr>
        <w:t>‘from field to fork’)</w:t>
      </w:r>
      <w:r>
        <w:rPr>
          <w:lang w:val="en-GB"/>
        </w:rPr>
        <w:t xml:space="preserve"> </w:t>
      </w:r>
      <w:r w:rsidR="00C30372">
        <w:rPr>
          <w:lang w:val="en-GB"/>
        </w:rPr>
        <w:t>rather than focusing jus</w:t>
      </w:r>
      <w:r w:rsidR="00C30372">
        <w:rPr>
          <w:lang w:val="en-GB"/>
        </w:rPr>
        <w:t xml:space="preserve">t on </w:t>
      </w:r>
      <w:r>
        <w:rPr>
          <w:lang w:val="en-GB"/>
        </w:rPr>
        <w:t xml:space="preserve">the </w:t>
      </w:r>
      <w:r w:rsidR="00C30372">
        <w:rPr>
          <w:lang w:val="en-GB"/>
        </w:rPr>
        <w:t>supply</w:t>
      </w:r>
      <w:r>
        <w:rPr>
          <w:lang w:val="en-GB"/>
        </w:rPr>
        <w:t xml:space="preserve"> from agricultural farming systems</w:t>
      </w:r>
      <w:r w:rsidR="00C30372">
        <w:rPr>
          <w:lang w:val="en-GB"/>
        </w:rPr>
        <w:t>.</w:t>
      </w:r>
    </w:p>
    <w:p w14:paraId="0E5B108B" w14:textId="77777777" w:rsidR="00E26E75" w:rsidRPr="00C30372" w:rsidRDefault="00E26E75" w:rsidP="00E26E75">
      <w:pPr>
        <w:pStyle w:val="ListParagraph"/>
        <w:spacing w:after="120" w:line="240" w:lineRule="auto"/>
        <w:ind w:left="227"/>
        <w:rPr>
          <w:lang w:val="en-GB"/>
        </w:rPr>
      </w:pPr>
    </w:p>
    <w:p w14:paraId="59B46998" w14:textId="256BE4DE" w:rsidR="009F5DFB" w:rsidRPr="009F5DFB" w:rsidRDefault="00D675A2" w:rsidP="00C30372">
      <w:pPr>
        <w:spacing w:line="240" w:lineRule="auto"/>
        <w:rPr>
          <w:lang w:val="en-GB"/>
        </w:rPr>
      </w:pPr>
      <w:r w:rsidRPr="00D675A2">
        <w:rPr>
          <w:b/>
          <w:bCs/>
          <w:lang w:val="en-GB"/>
        </w:rPr>
        <w:t>Next steps</w:t>
      </w:r>
      <w:r w:rsidR="00EC0B37">
        <w:rPr>
          <w:b/>
          <w:bCs/>
          <w:lang w:val="en-GB"/>
        </w:rPr>
        <w:t xml:space="preserve">: </w:t>
      </w:r>
      <w:r>
        <w:rPr>
          <w:lang w:val="en-GB"/>
        </w:rPr>
        <w:t>These discussions and questions were captured by detailed notes, with the consent of participants. This feedback – and any received subsequently from feedback forms give</w:t>
      </w:r>
      <w:r w:rsidR="008D4A46">
        <w:rPr>
          <w:lang w:val="en-GB"/>
        </w:rPr>
        <w:t>n</w:t>
      </w:r>
      <w:r>
        <w:rPr>
          <w:lang w:val="en-GB"/>
        </w:rPr>
        <w:t xml:space="preserve"> to participants – will be incorporated in the report of</w:t>
      </w:r>
      <w:r>
        <w:rPr>
          <w:lang w:val="en-GB"/>
        </w:rPr>
        <w:t xml:space="preserve"> thi</w:t>
      </w:r>
      <w:bookmarkStart w:id="0" w:name="_GoBack"/>
      <w:bookmarkEnd w:id="0"/>
      <w:r>
        <w:rPr>
          <w:lang w:val="en-GB"/>
        </w:rPr>
        <w:t xml:space="preserve">s work related to SDG2, a report that will be produced in March 2020. We also plan to </w:t>
      </w:r>
      <w:r w:rsidR="001254EB">
        <w:rPr>
          <w:lang w:val="en-GB"/>
        </w:rPr>
        <w:t xml:space="preserve">discuss </w:t>
      </w:r>
      <w:r>
        <w:rPr>
          <w:lang w:val="en-GB"/>
        </w:rPr>
        <w:t xml:space="preserve">related </w:t>
      </w:r>
      <w:r w:rsidR="001254EB">
        <w:rPr>
          <w:lang w:val="en-GB"/>
        </w:rPr>
        <w:t xml:space="preserve">ideas </w:t>
      </w:r>
      <w:r>
        <w:rPr>
          <w:lang w:val="en-GB"/>
        </w:rPr>
        <w:t xml:space="preserve">during Green Week 2020, and these ideas may also inform subsequent academic outputs. No outputs will contain individual names and any illustrative </w:t>
      </w:r>
      <w:r w:rsidRPr="006230AF">
        <w:rPr>
          <w:lang w:val="en-GB"/>
        </w:rPr>
        <w:t>quotes will not be attributable to any individual.</w:t>
      </w:r>
      <w:r w:rsidRPr="00D675A2">
        <w:rPr>
          <w:lang w:val="en-GB"/>
        </w:rPr>
        <w:t xml:space="preserve"> </w:t>
      </w:r>
    </w:p>
    <w:p w14:paraId="16F6B84D" w14:textId="263A9549" w:rsidR="00E61607" w:rsidRPr="00E61607" w:rsidRDefault="00D675A2" w:rsidP="00C30372">
      <w:pPr>
        <w:spacing w:line="240" w:lineRule="auto"/>
        <w:rPr>
          <w:lang w:val="en-GB"/>
        </w:rPr>
      </w:pPr>
      <w:r>
        <w:rPr>
          <w:lang w:val="en-GB"/>
        </w:rPr>
        <w:t xml:space="preserve">Please contact </w:t>
      </w:r>
      <w:hyperlink r:id="rId11" w:history="1">
        <w:r w:rsidRPr="00BB74A7">
          <w:rPr>
            <w:rStyle w:val="Hyperlink"/>
            <w:lang w:val="en-GB"/>
          </w:rPr>
          <w:t>Kerry.Waylen@hutton.ac.uk</w:t>
        </w:r>
      </w:hyperlink>
      <w:r>
        <w:rPr>
          <w:lang w:val="en-GB"/>
        </w:rPr>
        <w:t xml:space="preserve"> for more information about our work, its implications, or to discuss the method and other possible applications. </w:t>
      </w:r>
      <w:r w:rsidR="00E61607" w:rsidRPr="00E61607">
        <w:rPr>
          <w:lang w:val="en-GB"/>
        </w:rPr>
        <w:t>For more information about our project</w:t>
      </w:r>
      <w:r>
        <w:rPr>
          <w:lang w:val="en-GB"/>
        </w:rPr>
        <w:t xml:space="preserve"> you can also </w:t>
      </w:r>
      <w:r w:rsidR="00E61607" w:rsidRPr="00E61607">
        <w:rPr>
          <w:lang w:val="en-GB"/>
        </w:rPr>
        <w:t xml:space="preserve">visit </w:t>
      </w:r>
      <w:hyperlink r:id="rId12" w:history="1">
        <w:r w:rsidR="00E61607" w:rsidRPr="00E61607">
          <w:rPr>
            <w:rStyle w:val="Hyperlink"/>
            <w:lang w:val="en-GB"/>
          </w:rPr>
          <w:t>http://magic-nexus.eu/</w:t>
        </w:r>
      </w:hyperlink>
    </w:p>
    <w:sectPr w:rsidR="00E61607" w:rsidRPr="00E61607" w:rsidSect="00A03CF5">
      <w:headerReference w:type="default" r:id="rId13"/>
      <w:footerReference w:type="default" r:id="rId14"/>
      <w:headerReference w:type="first" r:id="rId15"/>
      <w:footerReference w:type="first" r:id="rId16"/>
      <w:pgSz w:w="11906" w:h="16838"/>
      <w:pgMar w:top="1440" w:right="1440" w:bottom="1440" w:left="144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96D45" w14:textId="77777777" w:rsidR="00712949" w:rsidRDefault="00712949" w:rsidP="004C0D9D">
      <w:r>
        <w:separator/>
      </w:r>
    </w:p>
  </w:endnote>
  <w:endnote w:type="continuationSeparator" w:id="0">
    <w:p w14:paraId="5002F0F0" w14:textId="77777777" w:rsidR="00712949" w:rsidRDefault="00712949" w:rsidP="004C0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5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5"/>
      <w:gridCol w:w="5825"/>
      <w:gridCol w:w="1916"/>
    </w:tblGrid>
    <w:tr w:rsidR="00196C47" w14:paraId="24D15191" w14:textId="77777777" w:rsidTr="003533A2">
      <w:trPr>
        <w:jc w:val="center"/>
      </w:trPr>
      <w:tc>
        <w:tcPr>
          <w:tcW w:w="1835" w:type="dxa"/>
          <w:shd w:val="clear" w:color="auto" w:fill="auto"/>
          <w:vAlign w:val="center"/>
        </w:tcPr>
        <w:p w14:paraId="7F360D69" w14:textId="77777777" w:rsidR="00196C47" w:rsidRPr="00A03CF5" w:rsidRDefault="00196C47" w:rsidP="00A03CF5">
          <w:pPr>
            <w:pStyle w:val="Footer"/>
            <w:jc w:val="center"/>
            <w:rPr>
              <w:sz w:val="20"/>
              <w:szCs w:val="20"/>
            </w:rPr>
          </w:pPr>
          <w:r w:rsidRPr="00A03CF5">
            <w:rPr>
              <w:noProof/>
              <w:sz w:val="20"/>
              <w:szCs w:val="20"/>
              <w:lang w:val="en-GB" w:eastAsia="en-GB"/>
            </w:rPr>
            <w:drawing>
              <wp:inline distT="0" distB="0" distL="0" distR="0" wp14:anchorId="0DAA62E9" wp14:editId="7649AAA0">
                <wp:extent cx="694249" cy="86400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_logo_magic_rgb-241x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249" cy="864000"/>
                        </a:xfrm>
                        <a:prstGeom prst="rect">
                          <a:avLst/>
                        </a:prstGeom>
                      </pic:spPr>
                    </pic:pic>
                  </a:graphicData>
                </a:graphic>
              </wp:inline>
            </w:drawing>
          </w:r>
        </w:p>
      </w:tc>
      <w:tc>
        <w:tcPr>
          <w:tcW w:w="5825" w:type="dxa"/>
          <w:shd w:val="clear" w:color="auto" w:fill="auto"/>
          <w:vAlign w:val="center"/>
        </w:tcPr>
        <w:p w14:paraId="57AD70A0" w14:textId="2E791AD0" w:rsidR="00196C47" w:rsidRPr="00A03CF5" w:rsidRDefault="00196C47" w:rsidP="00196C47">
          <w:pPr>
            <w:pStyle w:val="Footer"/>
            <w:jc w:val="center"/>
            <w:rPr>
              <w:sz w:val="20"/>
              <w:szCs w:val="20"/>
              <w:lang w:val="en-GB"/>
            </w:rPr>
          </w:pPr>
          <w:r w:rsidRPr="00A03CF5">
            <w:rPr>
              <w:sz w:val="20"/>
              <w:szCs w:val="20"/>
              <w:lang w:val="en-GB"/>
            </w:rPr>
            <w:t xml:space="preserve">‘Moving Towards Adaptive Governance in Complexity: Informing Nexus Security’ (MAGIC) is a research project funded by the EU under the H2020-WATER-2015 call (GA 689669). </w:t>
          </w:r>
        </w:p>
        <w:p w14:paraId="33C69127" w14:textId="77777777" w:rsidR="00196C47" w:rsidRPr="00A03CF5" w:rsidRDefault="00196C47" w:rsidP="00196C47">
          <w:pPr>
            <w:pStyle w:val="Footer"/>
            <w:jc w:val="center"/>
            <w:rPr>
              <w:sz w:val="20"/>
              <w:szCs w:val="20"/>
            </w:rPr>
          </w:pPr>
          <w:r w:rsidRPr="00A03CF5">
            <w:rPr>
              <w:sz w:val="20"/>
              <w:szCs w:val="20"/>
            </w:rPr>
            <w:t>(http://magic-nexus.eu/)</w:t>
          </w:r>
        </w:p>
      </w:tc>
      <w:tc>
        <w:tcPr>
          <w:tcW w:w="1916" w:type="dxa"/>
          <w:shd w:val="clear" w:color="auto" w:fill="auto"/>
          <w:vAlign w:val="center"/>
        </w:tcPr>
        <w:p w14:paraId="63BB55A4" w14:textId="77777777" w:rsidR="00196C47" w:rsidRDefault="00196C47" w:rsidP="00196C47">
          <w:pPr>
            <w:pStyle w:val="Footer"/>
            <w:jc w:val="center"/>
          </w:pPr>
          <w:r>
            <w:rPr>
              <w:noProof/>
              <w:lang w:val="en-GB" w:eastAsia="en-GB"/>
            </w:rPr>
            <w:drawing>
              <wp:inline distT="0" distB="0" distL="0" distR="0" wp14:anchorId="312C20D7" wp14:editId="395EC7D2">
                <wp:extent cx="864000" cy="5760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ag_of_Europe.svg-300x20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4000" cy="576000"/>
                        </a:xfrm>
                        <a:prstGeom prst="rect">
                          <a:avLst/>
                        </a:prstGeom>
                      </pic:spPr>
                    </pic:pic>
                  </a:graphicData>
                </a:graphic>
              </wp:inline>
            </w:drawing>
          </w:r>
        </w:p>
      </w:tc>
    </w:tr>
  </w:tbl>
  <w:p w14:paraId="0D32EB1D" w14:textId="77777777" w:rsidR="004C0D9D" w:rsidRPr="00935277" w:rsidRDefault="004C0D9D">
    <w:pPr>
      <w:pStyle w:val="Footer"/>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5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5"/>
      <w:gridCol w:w="5825"/>
      <w:gridCol w:w="1916"/>
    </w:tblGrid>
    <w:tr w:rsidR="00316AFA" w14:paraId="654E04EA" w14:textId="77777777" w:rsidTr="00196C47">
      <w:trPr>
        <w:jc w:val="center"/>
      </w:trPr>
      <w:tc>
        <w:tcPr>
          <w:tcW w:w="1835" w:type="dxa"/>
          <w:shd w:val="clear" w:color="auto" w:fill="auto"/>
          <w:vAlign w:val="center"/>
        </w:tcPr>
        <w:p w14:paraId="013EDBE1" w14:textId="77777777" w:rsidR="00316AFA" w:rsidRPr="00316AFA" w:rsidRDefault="00316AFA" w:rsidP="00196C47">
          <w:pPr>
            <w:pStyle w:val="Footer"/>
            <w:jc w:val="center"/>
            <w:rPr>
              <w:sz w:val="20"/>
            </w:rPr>
          </w:pPr>
          <w:r w:rsidRPr="00316AFA">
            <w:rPr>
              <w:noProof/>
              <w:sz w:val="20"/>
              <w:lang w:val="en-GB" w:eastAsia="en-GB"/>
            </w:rPr>
            <w:drawing>
              <wp:anchor distT="0" distB="0" distL="114300" distR="114300" simplePos="0" relativeHeight="251656192" behindDoc="1" locked="0" layoutInCell="1" allowOverlap="1" wp14:anchorId="5B702A81" wp14:editId="791B842E">
                <wp:simplePos x="0" y="0"/>
                <wp:positionH relativeFrom="column">
                  <wp:posOffset>106045</wp:posOffset>
                </wp:positionH>
                <wp:positionV relativeFrom="paragraph">
                  <wp:posOffset>92710</wp:posOffset>
                </wp:positionV>
                <wp:extent cx="867600" cy="1080000"/>
                <wp:effectExtent l="0" t="0" r="0" b="0"/>
                <wp:wrapTight wrapText="bothSides">
                  <wp:wrapPolygon edited="0">
                    <wp:start x="0" y="0"/>
                    <wp:lineTo x="0" y="21346"/>
                    <wp:lineTo x="21347" y="21346"/>
                    <wp:lineTo x="21347" y="0"/>
                    <wp:lineTo x="0" y="0"/>
                  </wp:wrapPolygon>
                </wp:wrapTight>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_logo_magic_rgb-241x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600" cy="1080000"/>
                        </a:xfrm>
                        <a:prstGeom prst="rect">
                          <a:avLst/>
                        </a:prstGeom>
                      </pic:spPr>
                    </pic:pic>
                  </a:graphicData>
                </a:graphic>
              </wp:anchor>
            </w:drawing>
          </w:r>
        </w:p>
      </w:tc>
      <w:tc>
        <w:tcPr>
          <w:tcW w:w="5825" w:type="dxa"/>
          <w:shd w:val="clear" w:color="auto" w:fill="auto"/>
          <w:vAlign w:val="center"/>
        </w:tcPr>
        <w:p w14:paraId="6385FAF6" w14:textId="77777777" w:rsidR="00316AFA" w:rsidRPr="006A4454" w:rsidRDefault="00316AFA" w:rsidP="00196C47">
          <w:pPr>
            <w:pStyle w:val="Footer"/>
            <w:jc w:val="center"/>
            <w:rPr>
              <w:sz w:val="20"/>
              <w:lang w:val="en-GB"/>
            </w:rPr>
          </w:pPr>
          <w:r w:rsidRPr="006A4454">
            <w:rPr>
              <w:sz w:val="20"/>
              <w:lang w:val="en-GB"/>
            </w:rPr>
            <w:t>‘Moving Towards Adaptive Governance in Complexity: Informing Nexus Security’ (MAGIC) is a research project funded by the EU under the H2020-WATER-2015 call (GA 689669). The goal of MAGIC is to open a path towards a new way of managing the water-energy-food nexus in which researchers and decision makers work together in search of development strategies and alternative policy options.</w:t>
          </w:r>
        </w:p>
        <w:p w14:paraId="25F9A05D" w14:textId="77777777" w:rsidR="004D65F3" w:rsidRPr="00316AFA" w:rsidRDefault="004D65F3" w:rsidP="00196C47">
          <w:pPr>
            <w:pStyle w:val="Footer"/>
            <w:jc w:val="center"/>
            <w:rPr>
              <w:sz w:val="20"/>
            </w:rPr>
          </w:pPr>
          <w:r>
            <w:t>(</w:t>
          </w:r>
          <w:r w:rsidRPr="004D65F3">
            <w:rPr>
              <w:sz w:val="24"/>
              <w:szCs w:val="24"/>
            </w:rPr>
            <w:t>http://magic-nexus.eu/</w:t>
          </w:r>
          <w:r>
            <w:rPr>
              <w:sz w:val="24"/>
              <w:szCs w:val="24"/>
            </w:rPr>
            <w:t>)</w:t>
          </w:r>
        </w:p>
      </w:tc>
      <w:tc>
        <w:tcPr>
          <w:tcW w:w="1916" w:type="dxa"/>
          <w:shd w:val="clear" w:color="auto" w:fill="auto"/>
          <w:vAlign w:val="center"/>
        </w:tcPr>
        <w:p w14:paraId="7489CB6D" w14:textId="77777777" w:rsidR="00316AFA" w:rsidRDefault="00316AFA" w:rsidP="00196C47">
          <w:pPr>
            <w:pStyle w:val="Footer"/>
            <w:jc w:val="center"/>
          </w:pPr>
          <w:r>
            <w:rPr>
              <w:noProof/>
              <w:lang w:val="en-GB" w:eastAsia="en-GB"/>
            </w:rPr>
            <w:drawing>
              <wp:anchor distT="0" distB="0" distL="114300" distR="114300" simplePos="0" relativeHeight="251660288" behindDoc="1" locked="0" layoutInCell="1" allowOverlap="1" wp14:anchorId="2FAAD970" wp14:editId="486479ED">
                <wp:simplePos x="0" y="0"/>
                <wp:positionH relativeFrom="column">
                  <wp:posOffset>4445</wp:posOffset>
                </wp:positionH>
                <wp:positionV relativeFrom="paragraph">
                  <wp:posOffset>273685</wp:posOffset>
                </wp:positionV>
                <wp:extent cx="1080000" cy="720000"/>
                <wp:effectExtent l="0" t="0" r="0" b="0"/>
                <wp:wrapTight wrapText="bothSides">
                  <wp:wrapPolygon edited="0">
                    <wp:start x="0" y="0"/>
                    <wp:lineTo x="0" y="21162"/>
                    <wp:lineTo x="21346" y="21162"/>
                    <wp:lineTo x="21346" y="0"/>
                    <wp:lineTo x="0" y="0"/>
                  </wp:wrapPolygon>
                </wp:wrapTight>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ag_of_Europe.svg-300x20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0000" cy="720000"/>
                        </a:xfrm>
                        <a:prstGeom prst="rect">
                          <a:avLst/>
                        </a:prstGeom>
                      </pic:spPr>
                    </pic:pic>
                  </a:graphicData>
                </a:graphic>
              </wp:anchor>
            </w:drawing>
          </w:r>
        </w:p>
      </w:tc>
    </w:tr>
  </w:tbl>
  <w:p w14:paraId="7D1F69A2" w14:textId="77777777" w:rsidR="00316AFA" w:rsidRDefault="00316A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60248" w14:textId="77777777" w:rsidR="00712949" w:rsidRDefault="00712949" w:rsidP="004C0D9D">
      <w:r>
        <w:separator/>
      </w:r>
    </w:p>
  </w:footnote>
  <w:footnote w:type="continuationSeparator" w:id="0">
    <w:p w14:paraId="730A6369" w14:textId="77777777" w:rsidR="00712949" w:rsidRDefault="00712949" w:rsidP="004C0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588D0" w14:textId="41CCB519" w:rsidR="00A03CF5" w:rsidRDefault="00A03CF5" w:rsidP="00E26E75">
    <w:pPr>
      <w:pStyle w:val="Header"/>
      <w:jc w:val="center"/>
    </w:pPr>
    <w:r w:rsidRPr="00483546">
      <w:rPr>
        <w:noProof/>
      </w:rPr>
      <w:drawing>
        <wp:inline distT="0" distB="0" distL="0" distR="0" wp14:anchorId="58678BA7" wp14:editId="17655BEA">
          <wp:extent cx="1470740" cy="565200"/>
          <wp:effectExtent l="0" t="0" r="0" b="635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740" cy="565200"/>
                  </a:xfrm>
                  <a:prstGeom prst="rect">
                    <a:avLst/>
                  </a:prstGeom>
                  <a:noFill/>
                  <a:ln w="9525">
                    <a:noFill/>
                    <a:miter lim="800000"/>
                    <a:headEnd/>
                    <a:tailEnd/>
                  </a:ln>
                </pic:spPr>
              </pic:pic>
            </a:graphicData>
          </a:graphic>
        </wp:inline>
      </w:drawing>
    </w:r>
    <w:r>
      <w:tab/>
    </w:r>
    <w:r>
      <w:tab/>
    </w:r>
    <w:r w:rsidRPr="00483546">
      <w:rPr>
        <w:noProof/>
      </w:rPr>
      <w:drawing>
        <wp:inline distT="0" distB="0" distL="0" distR="0" wp14:anchorId="2683D61C" wp14:editId="2AB9A932">
          <wp:extent cx="1195070" cy="566420"/>
          <wp:effectExtent l="0" t="0" r="5080" b="5080"/>
          <wp:docPr id="205" name="Picture 205" descr="N:\publications\JHI_logo_CMYKCS4_200x9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ublications\JHI_logo_CMYKCS4_200x95.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5070" cy="5664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D8435" w14:textId="2FC1F5E2" w:rsidR="00B03061" w:rsidRDefault="009F5DFB" w:rsidP="00196C47">
    <w:pPr>
      <w:pStyle w:val="Header"/>
      <w:jc w:val="center"/>
    </w:pPr>
    <w:r w:rsidRPr="00483546">
      <w:rPr>
        <w:noProof/>
      </w:rPr>
      <w:drawing>
        <wp:inline distT="0" distB="0" distL="0" distR="0" wp14:anchorId="05D78FF3" wp14:editId="39BA1DDE">
          <wp:extent cx="1470740" cy="565200"/>
          <wp:effectExtent l="0" t="0" r="0" b="635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740" cy="565200"/>
                  </a:xfrm>
                  <a:prstGeom prst="rect">
                    <a:avLst/>
                  </a:prstGeom>
                  <a:noFill/>
                  <a:ln w="9525">
                    <a:noFill/>
                    <a:miter lim="800000"/>
                    <a:headEnd/>
                    <a:tailEnd/>
                  </a:ln>
                </pic:spPr>
              </pic:pic>
            </a:graphicData>
          </a:graphic>
        </wp:inline>
      </w:drawing>
    </w:r>
    <w:r>
      <w:tab/>
    </w:r>
    <w:r>
      <w:tab/>
    </w:r>
    <w:r w:rsidRPr="00483546">
      <w:rPr>
        <w:noProof/>
      </w:rPr>
      <w:drawing>
        <wp:inline distT="0" distB="0" distL="0" distR="0" wp14:anchorId="1A64DCD5" wp14:editId="2A7890DA">
          <wp:extent cx="1195070" cy="566420"/>
          <wp:effectExtent l="0" t="0" r="5080" b="5080"/>
          <wp:docPr id="201" name="Picture 201" descr="N:\publications\JHI_logo_CMYKCS4_200x9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ublications\JHI_logo_CMYKCS4_200x95.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5070" cy="566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A2A56"/>
    <w:multiLevelType w:val="hybridMultilevel"/>
    <w:tmpl w:val="DF6CE5B2"/>
    <w:lvl w:ilvl="0" w:tplc="28E09F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4D64B2"/>
    <w:multiLevelType w:val="hybridMultilevel"/>
    <w:tmpl w:val="89D8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D157C6"/>
    <w:multiLevelType w:val="hybridMultilevel"/>
    <w:tmpl w:val="C85AB0C0"/>
    <w:lvl w:ilvl="0" w:tplc="942CC262">
      <w:start w:val="2007"/>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061"/>
    <w:rsid w:val="00012440"/>
    <w:rsid w:val="00025CFC"/>
    <w:rsid w:val="000328AA"/>
    <w:rsid w:val="000D6DA2"/>
    <w:rsid w:val="001254EB"/>
    <w:rsid w:val="00142CC2"/>
    <w:rsid w:val="00196C47"/>
    <w:rsid w:val="0026553D"/>
    <w:rsid w:val="00270CF8"/>
    <w:rsid w:val="00281276"/>
    <w:rsid w:val="00291620"/>
    <w:rsid w:val="0031277E"/>
    <w:rsid w:val="00316AFA"/>
    <w:rsid w:val="003C0A67"/>
    <w:rsid w:val="003D49A4"/>
    <w:rsid w:val="003D5A3F"/>
    <w:rsid w:val="004445C1"/>
    <w:rsid w:val="004615BC"/>
    <w:rsid w:val="00461A65"/>
    <w:rsid w:val="0048627F"/>
    <w:rsid w:val="004B4A20"/>
    <w:rsid w:val="004C076B"/>
    <w:rsid w:val="004C0D9D"/>
    <w:rsid w:val="004D65F3"/>
    <w:rsid w:val="005126D2"/>
    <w:rsid w:val="005A447A"/>
    <w:rsid w:val="005C2B07"/>
    <w:rsid w:val="005E7C0F"/>
    <w:rsid w:val="006230AF"/>
    <w:rsid w:val="00623911"/>
    <w:rsid w:val="0064363D"/>
    <w:rsid w:val="0066272E"/>
    <w:rsid w:val="00676217"/>
    <w:rsid w:val="00677852"/>
    <w:rsid w:val="006A4454"/>
    <w:rsid w:val="00712949"/>
    <w:rsid w:val="007144EF"/>
    <w:rsid w:val="00723CCF"/>
    <w:rsid w:val="007738F4"/>
    <w:rsid w:val="007867B7"/>
    <w:rsid w:val="007923CE"/>
    <w:rsid w:val="007F1CF6"/>
    <w:rsid w:val="00810315"/>
    <w:rsid w:val="008D4A46"/>
    <w:rsid w:val="009070BA"/>
    <w:rsid w:val="009315E8"/>
    <w:rsid w:val="00935277"/>
    <w:rsid w:val="00961F09"/>
    <w:rsid w:val="009B6DD3"/>
    <w:rsid w:val="009F5DFB"/>
    <w:rsid w:val="00A03CF5"/>
    <w:rsid w:val="00A320E0"/>
    <w:rsid w:val="00A83CD1"/>
    <w:rsid w:val="00AA6E31"/>
    <w:rsid w:val="00B02F02"/>
    <w:rsid w:val="00B03061"/>
    <w:rsid w:val="00B268CB"/>
    <w:rsid w:val="00B46800"/>
    <w:rsid w:val="00B878DE"/>
    <w:rsid w:val="00B91B90"/>
    <w:rsid w:val="00BB7202"/>
    <w:rsid w:val="00BF7783"/>
    <w:rsid w:val="00C30372"/>
    <w:rsid w:val="00C44D2D"/>
    <w:rsid w:val="00C47C13"/>
    <w:rsid w:val="00C97C17"/>
    <w:rsid w:val="00CA69A3"/>
    <w:rsid w:val="00CB49FD"/>
    <w:rsid w:val="00CE3371"/>
    <w:rsid w:val="00D35C56"/>
    <w:rsid w:val="00D675A2"/>
    <w:rsid w:val="00D810CB"/>
    <w:rsid w:val="00D87AB1"/>
    <w:rsid w:val="00D87BD5"/>
    <w:rsid w:val="00D911A8"/>
    <w:rsid w:val="00DB4D0B"/>
    <w:rsid w:val="00E1414F"/>
    <w:rsid w:val="00E26E75"/>
    <w:rsid w:val="00E61607"/>
    <w:rsid w:val="00E81376"/>
    <w:rsid w:val="00E91573"/>
    <w:rsid w:val="00EB4FB4"/>
    <w:rsid w:val="00EC0B37"/>
    <w:rsid w:val="00F843FE"/>
    <w:rsid w:val="00F90C62"/>
    <w:rsid w:val="00FC685C"/>
    <w:rsid w:val="00FC6B55"/>
    <w:rsid w:val="00FD644D"/>
    <w:rsid w:val="00FF5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6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ternalAddress">
    <w:name w:val="External Address"/>
    <w:basedOn w:val="Normal"/>
    <w:qFormat/>
    <w:rsid w:val="000328AA"/>
    <w:pPr>
      <w:widowControl w:val="0"/>
      <w:autoSpaceDE w:val="0"/>
      <w:autoSpaceDN w:val="0"/>
      <w:adjustRightInd w:val="0"/>
      <w:ind w:right="645"/>
    </w:pPr>
    <w:rPr>
      <w:rFonts w:asciiTheme="majorHAnsi" w:hAnsiTheme="majorHAnsi" w:cs="TimesNewRomanPS"/>
      <w:b/>
      <w:sz w:val="20"/>
      <w:szCs w:val="11"/>
    </w:rPr>
  </w:style>
  <w:style w:type="paragraph" w:customStyle="1" w:styleId="LetterText">
    <w:name w:val="Letter Text"/>
    <w:basedOn w:val="Normal"/>
    <w:qFormat/>
    <w:rsid w:val="00B878DE"/>
    <w:pPr>
      <w:widowControl w:val="0"/>
      <w:autoSpaceDE w:val="0"/>
      <w:autoSpaceDN w:val="0"/>
      <w:adjustRightInd w:val="0"/>
      <w:ind w:right="503"/>
    </w:pPr>
    <w:rPr>
      <w:rFonts w:cs="TimesNewRomanPS"/>
      <w:sz w:val="20"/>
      <w:szCs w:val="11"/>
    </w:rPr>
  </w:style>
  <w:style w:type="paragraph" w:styleId="Header">
    <w:name w:val="header"/>
    <w:basedOn w:val="Normal"/>
    <w:link w:val="HeaderChar"/>
    <w:uiPriority w:val="99"/>
    <w:unhideWhenUsed/>
    <w:rsid w:val="004C0D9D"/>
    <w:pPr>
      <w:tabs>
        <w:tab w:val="center" w:pos="4513"/>
        <w:tab w:val="right" w:pos="9026"/>
      </w:tabs>
    </w:pPr>
  </w:style>
  <w:style w:type="character" w:customStyle="1" w:styleId="HeaderChar">
    <w:name w:val="Header Char"/>
    <w:basedOn w:val="DefaultParagraphFont"/>
    <w:link w:val="Header"/>
    <w:uiPriority w:val="99"/>
    <w:rsid w:val="004C0D9D"/>
    <w:rPr>
      <w:sz w:val="24"/>
      <w:szCs w:val="24"/>
      <w:lang w:val="en-US"/>
    </w:rPr>
  </w:style>
  <w:style w:type="paragraph" w:styleId="Footer">
    <w:name w:val="footer"/>
    <w:basedOn w:val="Normal"/>
    <w:link w:val="FooterChar"/>
    <w:uiPriority w:val="99"/>
    <w:unhideWhenUsed/>
    <w:rsid w:val="004C0D9D"/>
    <w:pPr>
      <w:tabs>
        <w:tab w:val="center" w:pos="4513"/>
        <w:tab w:val="right" w:pos="9026"/>
      </w:tabs>
    </w:pPr>
  </w:style>
  <w:style w:type="character" w:customStyle="1" w:styleId="FooterChar">
    <w:name w:val="Footer Char"/>
    <w:basedOn w:val="DefaultParagraphFont"/>
    <w:link w:val="Footer"/>
    <w:uiPriority w:val="99"/>
    <w:rsid w:val="004C0D9D"/>
    <w:rPr>
      <w:sz w:val="24"/>
      <w:szCs w:val="24"/>
      <w:lang w:val="en-US"/>
    </w:rPr>
  </w:style>
  <w:style w:type="paragraph" w:styleId="BalloonText">
    <w:name w:val="Balloon Text"/>
    <w:basedOn w:val="Normal"/>
    <w:link w:val="BalloonTextChar"/>
    <w:uiPriority w:val="99"/>
    <w:semiHidden/>
    <w:unhideWhenUsed/>
    <w:rsid w:val="004C0D9D"/>
    <w:rPr>
      <w:rFonts w:ascii="Tahoma" w:hAnsi="Tahoma" w:cs="Tahoma"/>
      <w:sz w:val="16"/>
      <w:szCs w:val="16"/>
    </w:rPr>
  </w:style>
  <w:style w:type="character" w:customStyle="1" w:styleId="BalloonTextChar">
    <w:name w:val="Balloon Text Char"/>
    <w:basedOn w:val="DefaultParagraphFont"/>
    <w:link w:val="BalloonText"/>
    <w:uiPriority w:val="99"/>
    <w:semiHidden/>
    <w:rsid w:val="004C0D9D"/>
    <w:rPr>
      <w:rFonts w:ascii="Tahoma" w:hAnsi="Tahoma" w:cs="Tahoma"/>
      <w:sz w:val="16"/>
      <w:szCs w:val="16"/>
      <w:lang w:val="en-US"/>
    </w:rPr>
  </w:style>
  <w:style w:type="character" w:styleId="CommentReference">
    <w:name w:val="annotation reference"/>
    <w:basedOn w:val="DefaultParagraphFont"/>
    <w:uiPriority w:val="99"/>
    <w:semiHidden/>
    <w:unhideWhenUsed/>
    <w:rsid w:val="00B03061"/>
    <w:rPr>
      <w:sz w:val="16"/>
      <w:szCs w:val="16"/>
    </w:rPr>
  </w:style>
  <w:style w:type="paragraph" w:styleId="CommentText">
    <w:name w:val="annotation text"/>
    <w:basedOn w:val="Normal"/>
    <w:link w:val="CommentTextChar"/>
    <w:uiPriority w:val="99"/>
    <w:semiHidden/>
    <w:unhideWhenUsed/>
    <w:rsid w:val="00B03061"/>
    <w:pPr>
      <w:spacing w:line="240" w:lineRule="auto"/>
    </w:pPr>
    <w:rPr>
      <w:sz w:val="20"/>
      <w:szCs w:val="20"/>
    </w:rPr>
  </w:style>
  <w:style w:type="character" w:customStyle="1" w:styleId="CommentTextChar">
    <w:name w:val="Comment Text Char"/>
    <w:basedOn w:val="DefaultParagraphFont"/>
    <w:link w:val="CommentText"/>
    <w:uiPriority w:val="99"/>
    <w:semiHidden/>
    <w:rsid w:val="00B03061"/>
    <w:rPr>
      <w:sz w:val="20"/>
      <w:szCs w:val="20"/>
    </w:rPr>
  </w:style>
  <w:style w:type="paragraph" w:styleId="CommentSubject">
    <w:name w:val="annotation subject"/>
    <w:basedOn w:val="CommentText"/>
    <w:next w:val="CommentText"/>
    <w:link w:val="CommentSubjectChar"/>
    <w:uiPriority w:val="99"/>
    <w:semiHidden/>
    <w:unhideWhenUsed/>
    <w:rsid w:val="00B03061"/>
    <w:rPr>
      <w:b/>
      <w:bCs/>
    </w:rPr>
  </w:style>
  <w:style w:type="character" w:customStyle="1" w:styleId="CommentSubjectChar">
    <w:name w:val="Comment Subject Char"/>
    <w:basedOn w:val="CommentTextChar"/>
    <w:link w:val="CommentSubject"/>
    <w:uiPriority w:val="99"/>
    <w:semiHidden/>
    <w:rsid w:val="00B03061"/>
    <w:rPr>
      <w:b/>
      <w:bCs/>
      <w:sz w:val="20"/>
      <w:szCs w:val="20"/>
    </w:rPr>
  </w:style>
  <w:style w:type="character" w:styleId="Hyperlink">
    <w:name w:val="Hyperlink"/>
    <w:basedOn w:val="DefaultParagraphFont"/>
    <w:uiPriority w:val="99"/>
    <w:unhideWhenUsed/>
    <w:rsid w:val="00316AFA"/>
    <w:rPr>
      <w:color w:val="0000FF" w:themeColor="hyperlink"/>
      <w:u w:val="single"/>
    </w:rPr>
  </w:style>
  <w:style w:type="table" w:styleId="TableGrid">
    <w:name w:val="Table Grid"/>
    <w:basedOn w:val="TableNormal"/>
    <w:uiPriority w:val="59"/>
    <w:rsid w:val="00316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0BA"/>
    <w:pPr>
      <w:ind w:left="720"/>
      <w:contextualSpacing/>
    </w:pPr>
  </w:style>
  <w:style w:type="character" w:styleId="UnresolvedMention">
    <w:name w:val="Unresolved Mention"/>
    <w:basedOn w:val="DefaultParagraphFont"/>
    <w:uiPriority w:val="99"/>
    <w:semiHidden/>
    <w:unhideWhenUsed/>
    <w:rsid w:val="003D49A4"/>
    <w:rPr>
      <w:color w:val="605E5C"/>
      <w:shd w:val="clear" w:color="auto" w:fill="E1DFDD"/>
    </w:rPr>
  </w:style>
  <w:style w:type="paragraph" w:styleId="FootnoteText">
    <w:name w:val="footnote text"/>
    <w:basedOn w:val="Normal"/>
    <w:link w:val="FootnoteTextChar"/>
    <w:uiPriority w:val="99"/>
    <w:semiHidden/>
    <w:unhideWhenUsed/>
    <w:rsid w:val="00A03CF5"/>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semiHidden/>
    <w:rsid w:val="00A03CF5"/>
    <w:rPr>
      <w:rFonts w:eastAsiaTheme="minorHAnsi"/>
      <w:sz w:val="20"/>
      <w:szCs w:val="20"/>
      <w:lang w:val="en-GB" w:eastAsia="en-US"/>
    </w:rPr>
  </w:style>
  <w:style w:type="character" w:styleId="FootnoteReference">
    <w:name w:val="footnote reference"/>
    <w:basedOn w:val="DefaultParagraphFont"/>
    <w:uiPriority w:val="99"/>
    <w:semiHidden/>
    <w:unhideWhenUsed/>
    <w:rsid w:val="00A03C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32101">
      <w:bodyDiv w:val="1"/>
      <w:marLeft w:val="0"/>
      <w:marRight w:val="0"/>
      <w:marTop w:val="0"/>
      <w:marBottom w:val="0"/>
      <w:divBdr>
        <w:top w:val="none" w:sz="0" w:space="0" w:color="auto"/>
        <w:left w:val="none" w:sz="0" w:space="0" w:color="auto"/>
        <w:bottom w:val="none" w:sz="0" w:space="0" w:color="auto"/>
        <w:right w:val="none" w:sz="0" w:space="0" w:color="auto"/>
      </w:divBdr>
      <w:divsChild>
        <w:div w:id="2084527120">
          <w:marLeft w:val="274"/>
          <w:marRight w:val="0"/>
          <w:marTop w:val="150"/>
          <w:marBottom w:val="0"/>
          <w:divBdr>
            <w:top w:val="none" w:sz="0" w:space="0" w:color="auto"/>
            <w:left w:val="none" w:sz="0" w:space="0" w:color="auto"/>
            <w:bottom w:val="none" w:sz="0" w:space="0" w:color="auto"/>
            <w:right w:val="none" w:sz="0" w:space="0" w:color="auto"/>
          </w:divBdr>
        </w:div>
        <w:div w:id="1448159853">
          <w:marLeft w:val="274"/>
          <w:marRight w:val="0"/>
          <w:marTop w:val="150"/>
          <w:marBottom w:val="0"/>
          <w:divBdr>
            <w:top w:val="none" w:sz="0" w:space="0" w:color="auto"/>
            <w:left w:val="none" w:sz="0" w:space="0" w:color="auto"/>
            <w:bottom w:val="none" w:sz="0" w:space="0" w:color="auto"/>
            <w:right w:val="none" w:sz="0" w:space="0" w:color="auto"/>
          </w:divBdr>
        </w:div>
        <w:div w:id="1796480836">
          <w:marLeft w:val="274"/>
          <w:marRight w:val="0"/>
          <w:marTop w:val="150"/>
          <w:marBottom w:val="0"/>
          <w:divBdr>
            <w:top w:val="none" w:sz="0" w:space="0" w:color="auto"/>
            <w:left w:val="none" w:sz="0" w:space="0" w:color="auto"/>
            <w:bottom w:val="none" w:sz="0" w:space="0" w:color="auto"/>
            <w:right w:val="none" w:sz="0" w:space="0" w:color="auto"/>
          </w:divBdr>
        </w:div>
        <w:div w:id="592670701">
          <w:marLeft w:val="274"/>
          <w:marRight w:val="0"/>
          <w:marTop w:val="150"/>
          <w:marBottom w:val="0"/>
          <w:divBdr>
            <w:top w:val="none" w:sz="0" w:space="0" w:color="auto"/>
            <w:left w:val="none" w:sz="0" w:space="0" w:color="auto"/>
            <w:bottom w:val="none" w:sz="0" w:space="0" w:color="auto"/>
            <w:right w:val="none" w:sz="0" w:space="0" w:color="auto"/>
          </w:divBdr>
        </w:div>
        <w:div w:id="1991782834">
          <w:marLeft w:val="274"/>
          <w:marRight w:val="0"/>
          <w:marTop w:val="150"/>
          <w:marBottom w:val="0"/>
          <w:divBdr>
            <w:top w:val="none" w:sz="0" w:space="0" w:color="auto"/>
            <w:left w:val="none" w:sz="0" w:space="0" w:color="auto"/>
            <w:bottom w:val="none" w:sz="0" w:space="0" w:color="auto"/>
            <w:right w:val="none" w:sz="0" w:space="0" w:color="auto"/>
          </w:divBdr>
        </w:div>
        <w:div w:id="961110954">
          <w:marLeft w:val="274"/>
          <w:marRight w:val="0"/>
          <w:marTop w:val="150"/>
          <w:marBottom w:val="0"/>
          <w:divBdr>
            <w:top w:val="none" w:sz="0" w:space="0" w:color="auto"/>
            <w:left w:val="none" w:sz="0" w:space="0" w:color="auto"/>
            <w:bottom w:val="none" w:sz="0" w:space="0" w:color="auto"/>
            <w:right w:val="none" w:sz="0" w:space="0" w:color="auto"/>
          </w:divBdr>
        </w:div>
      </w:divsChild>
    </w:div>
    <w:div w:id="533736685">
      <w:bodyDiv w:val="1"/>
      <w:marLeft w:val="0"/>
      <w:marRight w:val="0"/>
      <w:marTop w:val="0"/>
      <w:marBottom w:val="0"/>
      <w:divBdr>
        <w:top w:val="none" w:sz="0" w:space="0" w:color="auto"/>
        <w:left w:val="none" w:sz="0" w:space="0" w:color="auto"/>
        <w:bottom w:val="none" w:sz="0" w:space="0" w:color="auto"/>
        <w:right w:val="none" w:sz="0" w:space="0" w:color="auto"/>
      </w:divBdr>
    </w:div>
    <w:div w:id="831213364">
      <w:bodyDiv w:val="1"/>
      <w:marLeft w:val="0"/>
      <w:marRight w:val="0"/>
      <w:marTop w:val="0"/>
      <w:marBottom w:val="0"/>
      <w:divBdr>
        <w:top w:val="none" w:sz="0" w:space="0" w:color="auto"/>
        <w:left w:val="none" w:sz="0" w:space="0" w:color="auto"/>
        <w:bottom w:val="none" w:sz="0" w:space="0" w:color="auto"/>
        <w:right w:val="none" w:sz="0" w:space="0" w:color="auto"/>
      </w:divBdr>
    </w:div>
    <w:div w:id="1164541330">
      <w:bodyDiv w:val="1"/>
      <w:marLeft w:val="0"/>
      <w:marRight w:val="0"/>
      <w:marTop w:val="0"/>
      <w:marBottom w:val="0"/>
      <w:divBdr>
        <w:top w:val="none" w:sz="0" w:space="0" w:color="auto"/>
        <w:left w:val="none" w:sz="0" w:space="0" w:color="auto"/>
        <w:bottom w:val="none" w:sz="0" w:space="0" w:color="auto"/>
        <w:right w:val="none" w:sz="0" w:space="0" w:color="auto"/>
      </w:divBdr>
      <w:divsChild>
        <w:div w:id="1913268523">
          <w:marLeft w:val="274"/>
          <w:marRight w:val="0"/>
          <w:marTop w:val="150"/>
          <w:marBottom w:val="0"/>
          <w:divBdr>
            <w:top w:val="none" w:sz="0" w:space="0" w:color="auto"/>
            <w:left w:val="none" w:sz="0" w:space="0" w:color="auto"/>
            <w:bottom w:val="none" w:sz="0" w:space="0" w:color="auto"/>
            <w:right w:val="none" w:sz="0" w:space="0" w:color="auto"/>
          </w:divBdr>
        </w:div>
        <w:div w:id="1819614604">
          <w:marLeft w:val="806"/>
          <w:marRight w:val="0"/>
          <w:marTop w:val="75"/>
          <w:marBottom w:val="0"/>
          <w:divBdr>
            <w:top w:val="none" w:sz="0" w:space="0" w:color="auto"/>
            <w:left w:val="none" w:sz="0" w:space="0" w:color="auto"/>
            <w:bottom w:val="none" w:sz="0" w:space="0" w:color="auto"/>
            <w:right w:val="none" w:sz="0" w:space="0" w:color="auto"/>
          </w:divBdr>
        </w:div>
        <w:div w:id="800732808">
          <w:marLeft w:val="806"/>
          <w:marRight w:val="0"/>
          <w:marTop w:val="75"/>
          <w:marBottom w:val="0"/>
          <w:divBdr>
            <w:top w:val="none" w:sz="0" w:space="0" w:color="auto"/>
            <w:left w:val="none" w:sz="0" w:space="0" w:color="auto"/>
            <w:bottom w:val="none" w:sz="0" w:space="0" w:color="auto"/>
            <w:right w:val="none" w:sz="0" w:space="0" w:color="auto"/>
          </w:divBdr>
        </w:div>
        <w:div w:id="2107924773">
          <w:marLeft w:val="274"/>
          <w:marRight w:val="0"/>
          <w:marTop w:val="150"/>
          <w:marBottom w:val="0"/>
          <w:divBdr>
            <w:top w:val="none" w:sz="0" w:space="0" w:color="auto"/>
            <w:left w:val="none" w:sz="0" w:space="0" w:color="auto"/>
            <w:bottom w:val="none" w:sz="0" w:space="0" w:color="auto"/>
            <w:right w:val="none" w:sz="0" w:space="0" w:color="auto"/>
          </w:divBdr>
        </w:div>
        <w:div w:id="1515220300">
          <w:marLeft w:val="274"/>
          <w:marRight w:val="0"/>
          <w:marTop w:val="150"/>
          <w:marBottom w:val="0"/>
          <w:divBdr>
            <w:top w:val="none" w:sz="0" w:space="0" w:color="auto"/>
            <w:left w:val="none" w:sz="0" w:space="0" w:color="auto"/>
            <w:bottom w:val="none" w:sz="0" w:space="0" w:color="auto"/>
            <w:right w:val="none" w:sz="0" w:space="0" w:color="auto"/>
          </w:divBdr>
        </w:div>
        <w:div w:id="1806190511">
          <w:marLeft w:val="806"/>
          <w:marRight w:val="0"/>
          <w:marTop w:val="75"/>
          <w:marBottom w:val="0"/>
          <w:divBdr>
            <w:top w:val="none" w:sz="0" w:space="0" w:color="auto"/>
            <w:left w:val="none" w:sz="0" w:space="0" w:color="auto"/>
            <w:bottom w:val="none" w:sz="0" w:space="0" w:color="auto"/>
            <w:right w:val="none" w:sz="0" w:space="0" w:color="auto"/>
          </w:divBdr>
        </w:div>
        <w:div w:id="2001810175">
          <w:marLeft w:val="806"/>
          <w:marRight w:val="0"/>
          <w:marTop w:val="75"/>
          <w:marBottom w:val="0"/>
          <w:divBdr>
            <w:top w:val="none" w:sz="0" w:space="0" w:color="auto"/>
            <w:left w:val="none" w:sz="0" w:space="0" w:color="auto"/>
            <w:bottom w:val="none" w:sz="0" w:space="0" w:color="auto"/>
            <w:right w:val="none" w:sz="0" w:space="0" w:color="auto"/>
          </w:divBdr>
        </w:div>
        <w:div w:id="724987184">
          <w:marLeft w:val="274"/>
          <w:marRight w:val="0"/>
          <w:marTop w:val="150"/>
          <w:marBottom w:val="0"/>
          <w:divBdr>
            <w:top w:val="none" w:sz="0" w:space="0" w:color="auto"/>
            <w:left w:val="none" w:sz="0" w:space="0" w:color="auto"/>
            <w:bottom w:val="none" w:sz="0" w:space="0" w:color="auto"/>
            <w:right w:val="none" w:sz="0" w:space="0" w:color="auto"/>
          </w:divBdr>
        </w:div>
        <w:div w:id="1648899618">
          <w:marLeft w:val="806"/>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tton.ac.uk/research/projects/magic"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gic-nexus.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rry.Waylen@hutton.ac.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magic-nexus.eu/documents/introducing-societal-metabolism-analysis-%E2%80%98musiasem" TargetMode="External"/><Relationship Id="rId4" Type="http://schemas.openxmlformats.org/officeDocument/2006/relationships/settings" Target="settings.xml"/><Relationship Id="rId9" Type="http://schemas.openxmlformats.org/officeDocument/2006/relationships/hyperlink" Target="https://magic-nexus.e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40385\AppData\Roaming\Microsoft\Templates\JHI%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LURI Theme Fo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28AFC-BC12-4A93-BF93-E063206D8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JHI Letterhead Template</Template>
  <TotalTime>0</TotalTime>
  <Pages>2</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2019-11-28T10:58:00Z</dcterms:created>
  <dcterms:modified xsi:type="dcterms:W3CDTF">2019-11-28T10:58:00Z</dcterms:modified>
</cp:coreProperties>
</file>